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A9BC40" w14:textId="2244965A" w:rsidR="003D1F49" w:rsidRPr="003D1F49" w:rsidRDefault="003D1F49" w:rsidP="003D1F49">
      <w:pPr>
        <w:pStyle w:val="TdocHeader2"/>
        <w:rPr>
          <w:rFonts w:eastAsia="맑은 고딕" w:cs="Arial"/>
          <w:bCs/>
          <w:snapToGrid w:val="0"/>
          <w:sz w:val="24"/>
          <w:lang w:eastAsia="ko-KR"/>
        </w:rPr>
      </w:pPr>
      <w:bookmarkStart w:id="0" w:name="OLE_LINK1"/>
      <w:bookmarkStart w:id="1" w:name="OLE_LINK2"/>
      <w:r w:rsidRPr="003D1F49">
        <w:rPr>
          <w:rFonts w:eastAsia="Times New Roman" w:cs="Arial"/>
          <w:bCs/>
          <w:snapToGrid w:val="0"/>
          <w:sz w:val="24"/>
          <w:lang w:eastAsia="zh-CN"/>
        </w:rPr>
        <w:t>3GPP TSG RAN WG1 Meeting #90</w:t>
      </w:r>
      <w:r w:rsidR="00B47CB6">
        <w:rPr>
          <w:rFonts w:eastAsia="맑은 고딕" w:cs="Arial" w:hint="eastAsia"/>
          <w:bCs/>
          <w:snapToGrid w:val="0"/>
          <w:sz w:val="24"/>
          <w:lang w:eastAsia="ko-KR"/>
        </w:rPr>
        <w:t>bis</w:t>
      </w:r>
      <w:r w:rsidRPr="003D1F49">
        <w:rPr>
          <w:rFonts w:eastAsia="Times New Roman" w:cs="Arial"/>
          <w:bCs/>
          <w:snapToGrid w:val="0"/>
          <w:sz w:val="24"/>
          <w:lang w:eastAsia="zh-CN"/>
        </w:rPr>
        <w:t xml:space="preserve">                                   </w:t>
      </w:r>
      <w:r w:rsidRPr="003D1F49">
        <w:rPr>
          <w:rFonts w:eastAsia="Times New Roman" w:cs="Arial"/>
          <w:bCs/>
          <w:snapToGrid w:val="0"/>
          <w:sz w:val="24"/>
          <w:lang w:eastAsia="zh-CN"/>
        </w:rPr>
        <w:tab/>
        <w:t>R1-17</w:t>
      </w:r>
      <w:r>
        <w:rPr>
          <w:rFonts w:eastAsia="맑은 고딕" w:cs="Arial" w:hint="eastAsia"/>
          <w:bCs/>
          <w:snapToGrid w:val="0"/>
          <w:sz w:val="24"/>
          <w:lang w:eastAsia="ko-KR"/>
        </w:rPr>
        <w:t>1</w:t>
      </w:r>
      <w:r w:rsidR="00B47CB6">
        <w:rPr>
          <w:rFonts w:eastAsia="맑은 고딕" w:cs="Arial" w:hint="eastAsia"/>
          <w:bCs/>
          <w:snapToGrid w:val="0"/>
          <w:sz w:val="24"/>
          <w:lang w:eastAsia="ko-KR"/>
        </w:rPr>
        <w:t>7265</w:t>
      </w:r>
    </w:p>
    <w:p w14:paraId="7D146E6B" w14:textId="2155DA3D" w:rsidR="00386965" w:rsidRDefault="003D1F49" w:rsidP="003D1F49">
      <w:pPr>
        <w:pStyle w:val="TdocHeader2"/>
        <w:rPr>
          <w:rFonts w:eastAsia="맑은 고딕"/>
          <w:sz w:val="22"/>
          <w:lang w:val="en-US" w:eastAsia="ko-KR"/>
        </w:rPr>
      </w:pPr>
      <w:r w:rsidRPr="003D1F49">
        <w:rPr>
          <w:rFonts w:eastAsia="Times New Roman" w:cs="Arial"/>
          <w:bCs/>
          <w:snapToGrid w:val="0"/>
          <w:sz w:val="24"/>
          <w:lang w:eastAsia="zh-CN"/>
        </w:rPr>
        <w:t xml:space="preserve">Prague, </w:t>
      </w:r>
      <w:proofErr w:type="spellStart"/>
      <w:r w:rsidRPr="003D1F49">
        <w:rPr>
          <w:rFonts w:eastAsia="Times New Roman" w:cs="Arial"/>
          <w:bCs/>
          <w:snapToGrid w:val="0"/>
          <w:sz w:val="24"/>
          <w:lang w:eastAsia="zh-CN"/>
        </w:rPr>
        <w:t>Czechia</w:t>
      </w:r>
      <w:proofErr w:type="spellEnd"/>
      <w:r w:rsidRPr="00B47CB6">
        <w:rPr>
          <w:rFonts w:eastAsia="Times New Roman" w:cs="Arial"/>
          <w:bCs/>
          <w:snapToGrid w:val="0"/>
          <w:sz w:val="24"/>
          <w:szCs w:val="24"/>
          <w:lang w:eastAsia="zh-CN"/>
        </w:rPr>
        <w:t xml:space="preserve">, </w:t>
      </w:r>
      <w:r w:rsidR="00B47CB6" w:rsidRPr="00B47CB6">
        <w:rPr>
          <w:rFonts w:eastAsia="MS Mincho" w:cs="Arial"/>
          <w:bCs/>
          <w:sz w:val="24"/>
          <w:szCs w:val="24"/>
          <w:lang w:eastAsia="ja-JP"/>
        </w:rPr>
        <w:t>9</w:t>
      </w:r>
      <w:r w:rsidR="00B47CB6" w:rsidRPr="00B47CB6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B47CB6" w:rsidRPr="00B47CB6">
        <w:rPr>
          <w:rFonts w:eastAsia="MS Mincho" w:cs="Arial"/>
          <w:bCs/>
          <w:sz w:val="24"/>
          <w:szCs w:val="24"/>
          <w:lang w:eastAsia="ja-JP"/>
        </w:rPr>
        <w:t xml:space="preserve"> – 13</w:t>
      </w:r>
      <w:r w:rsidR="00B47CB6" w:rsidRPr="00B47CB6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B47CB6" w:rsidRPr="00B47CB6">
        <w:rPr>
          <w:rFonts w:eastAsia="MS Mincho" w:cs="Arial" w:hint="eastAsia"/>
          <w:bCs/>
          <w:sz w:val="24"/>
          <w:szCs w:val="24"/>
          <w:lang w:eastAsia="ja-JP"/>
        </w:rPr>
        <w:t xml:space="preserve">, </w:t>
      </w:r>
      <w:r w:rsidR="00B47CB6" w:rsidRPr="00B47CB6">
        <w:rPr>
          <w:rFonts w:cs="Arial"/>
          <w:bCs/>
          <w:sz w:val="24"/>
          <w:szCs w:val="24"/>
        </w:rPr>
        <w:t>October 201</w:t>
      </w:r>
      <w:r w:rsidR="00B47CB6" w:rsidRPr="00B47CB6">
        <w:rPr>
          <w:rFonts w:eastAsia="MS Mincho" w:cs="Arial" w:hint="eastAsia"/>
          <w:bCs/>
          <w:sz w:val="24"/>
          <w:szCs w:val="24"/>
          <w:lang w:eastAsia="ja-JP"/>
        </w:rPr>
        <w:t>7</w:t>
      </w:r>
      <w:r w:rsidR="008F352A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70745ACA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B47CB6">
        <w:rPr>
          <w:rFonts w:hint="eastAsia"/>
          <w:sz w:val="22"/>
          <w:lang w:val="en-US" w:eastAsia="ko-KR"/>
        </w:rPr>
        <w:t>6.2.3.1.2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48382B6D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3D1F49">
        <w:rPr>
          <w:rFonts w:hint="eastAsia"/>
          <w:sz w:val="22"/>
          <w:lang w:val="en-US" w:eastAsia="ko-KR"/>
        </w:rPr>
        <w:t>Discussion on synchronization for sidelink CA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60DA3AF9" w14:textId="59BA4190" w:rsidR="00565B1B" w:rsidRPr="00565B1B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#8</w:t>
      </w:r>
      <w:r w:rsidR="00D44B8F">
        <w:rPr>
          <w:rFonts w:ascii="Times New Roman" w:eastAsia="맑은 고딕" w:hAnsi="Times New Roman" w:hint="eastAsia"/>
          <w:iCs/>
          <w:sz w:val="22"/>
          <w:lang w:eastAsia="ko-KR"/>
        </w:rPr>
        <w:t>9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, the following agreements were made:</w:t>
      </w:r>
    </w:p>
    <w:p w14:paraId="3EA2B0BC" w14:textId="77777777" w:rsidR="00D44B8F" w:rsidRDefault="00D44B8F" w:rsidP="00D44B8F">
      <w:pPr>
        <w:rPr>
          <w:rFonts w:eastAsia="맑은 고딕"/>
          <w:lang w:eastAsia="ko-KR"/>
        </w:rPr>
      </w:pPr>
    </w:p>
    <w:p w14:paraId="708D0A9B" w14:textId="77777777" w:rsidR="00C50D8F" w:rsidRPr="00C50D8F" w:rsidRDefault="00C50D8F" w:rsidP="00C50D8F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MS Mincho" w:hAnsi="Times"/>
          <w:iCs/>
          <w:szCs w:val="24"/>
          <w:lang w:eastAsia="ja-JP"/>
        </w:rPr>
      </w:pPr>
      <w:r w:rsidRPr="00C50D8F">
        <w:rPr>
          <w:rFonts w:ascii="Times" w:eastAsia="MS Mincho" w:hAnsi="Times"/>
          <w:iCs/>
          <w:szCs w:val="24"/>
          <w:highlight w:val="green"/>
          <w:lang w:eastAsia="ja-JP"/>
        </w:rPr>
        <w:t>Agreement</w:t>
      </w:r>
      <w:r w:rsidRPr="00C50D8F">
        <w:rPr>
          <w:rFonts w:ascii="Times" w:eastAsia="MS Mincho" w:hAnsi="Times"/>
          <w:iCs/>
          <w:szCs w:val="24"/>
          <w:lang w:eastAsia="ja-JP"/>
        </w:rPr>
        <w:t>:</w:t>
      </w:r>
    </w:p>
    <w:p w14:paraId="6DDCC1AF" w14:textId="77777777" w:rsidR="00C50D8F" w:rsidRPr="00C50D8F" w:rsidRDefault="00C50D8F" w:rsidP="00C50D8F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For RAN1, 3 use cases are considered for CA (Note that all use cases may not necessarily be supported):</w:t>
      </w:r>
    </w:p>
    <w:p w14:paraId="48FF4DA3" w14:textId="77777777" w:rsidR="00C50D8F" w:rsidRPr="00C50D8F" w:rsidRDefault="00C50D8F" w:rsidP="00C50D8F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 xml:space="preserve">Parallel transmission of MAC PDUs (‘parallel’ means at the same or different transmission time, but on different carriers). The MAC PDU payloads are different. </w:t>
      </w:r>
    </w:p>
    <w:p w14:paraId="055231D2" w14:textId="77777777" w:rsidR="00C50D8F" w:rsidRPr="00C50D8F" w:rsidRDefault="00C50D8F" w:rsidP="00C50D8F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Parallel transmission of replicated copies of the same packet (‘parallel’ means at the same or different transmission time, but on different carriers)</w:t>
      </w:r>
    </w:p>
    <w:p w14:paraId="3D4E0355" w14:textId="77777777" w:rsidR="00C50D8F" w:rsidRPr="00C50D8F" w:rsidRDefault="00C50D8F" w:rsidP="00C50D8F">
      <w:pPr>
        <w:numPr>
          <w:ilvl w:val="2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FFS at which layer replication is done</w:t>
      </w:r>
    </w:p>
    <w:p w14:paraId="74E296A3" w14:textId="77777777" w:rsidR="00C50D8F" w:rsidRPr="00C50D8F" w:rsidRDefault="00C50D8F" w:rsidP="00C50D8F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Capacity improvements from the receiver perspective</w:t>
      </w:r>
    </w:p>
    <w:p w14:paraId="33B9E559" w14:textId="77777777" w:rsidR="00C50D8F" w:rsidRPr="00C50D8F" w:rsidRDefault="00C50D8F" w:rsidP="00C50D8F">
      <w:pPr>
        <w:numPr>
          <w:ilvl w:val="2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Note: From the receiver’s perspective, simultaneous reception over multiple carriers is assumed. From a transmitter’s perspective, transmission occurs over a subset of the available carriers</w:t>
      </w:r>
    </w:p>
    <w:p w14:paraId="7DA0642A" w14:textId="77777777" w:rsidR="00C50D8F" w:rsidRPr="00C50D8F" w:rsidRDefault="00C50D8F" w:rsidP="00C50D8F">
      <w:pPr>
        <w:numPr>
          <w:ilvl w:val="2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For example, capacity could be increased a UE transmits on a single carrier (which can be different for each UE), but receives over all carriers</w:t>
      </w:r>
    </w:p>
    <w:p w14:paraId="2061CE3C" w14:textId="77777777" w:rsidR="00C50D8F" w:rsidRPr="00C50D8F" w:rsidRDefault="00C50D8F" w:rsidP="00D44B8F">
      <w:pPr>
        <w:rPr>
          <w:rFonts w:eastAsia="맑은 고딕"/>
          <w:lang w:val="en-US" w:eastAsia="ko-KR"/>
        </w:rPr>
      </w:pPr>
    </w:p>
    <w:p w14:paraId="69804E72" w14:textId="77777777" w:rsidR="00D44B8F" w:rsidRPr="00D44B8F" w:rsidRDefault="00D44B8F" w:rsidP="00D44B8F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MS Mincho" w:hAnsi="Times"/>
          <w:iCs/>
          <w:szCs w:val="24"/>
          <w:lang w:eastAsia="ja-JP"/>
        </w:rPr>
      </w:pPr>
      <w:r w:rsidRPr="00D44B8F">
        <w:rPr>
          <w:rFonts w:ascii="Times" w:eastAsia="MS Mincho" w:hAnsi="Times"/>
          <w:iCs/>
          <w:szCs w:val="24"/>
          <w:highlight w:val="green"/>
          <w:lang w:eastAsia="ja-JP"/>
        </w:rPr>
        <w:t>Agreement</w:t>
      </w:r>
      <w:r w:rsidRPr="00D44B8F">
        <w:rPr>
          <w:rFonts w:ascii="Times" w:eastAsia="MS Mincho" w:hAnsi="Times"/>
          <w:iCs/>
          <w:szCs w:val="24"/>
          <w:lang w:eastAsia="ja-JP"/>
        </w:rPr>
        <w:t>:</w:t>
      </w:r>
    </w:p>
    <w:p w14:paraId="7A4E634C" w14:textId="77777777" w:rsidR="00D44B8F" w:rsidRPr="00D44B8F" w:rsidRDefault="00D44B8F" w:rsidP="00D44B8F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D44B8F">
        <w:rPr>
          <w:rFonts w:ascii="Times" w:eastAsia="MS Mincho" w:hAnsi="Times"/>
          <w:iCs/>
          <w:szCs w:val="24"/>
          <w:lang w:val="en-US" w:eastAsia="ja-JP"/>
        </w:rPr>
        <w:t xml:space="preserve">In rel. 15 V2X WI, PSCCH and its associated PSSCH are transmitted in same carrier. </w:t>
      </w:r>
    </w:p>
    <w:p w14:paraId="2C444C6D" w14:textId="77777777" w:rsidR="00D44B8F" w:rsidRPr="00D44B8F" w:rsidRDefault="00D44B8F" w:rsidP="00D44B8F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D44B8F">
        <w:rPr>
          <w:rFonts w:ascii="Times" w:eastAsia="MS Mincho" w:hAnsi="Times"/>
          <w:iCs/>
          <w:szCs w:val="24"/>
          <w:lang w:val="en-US" w:eastAsia="ja-JP"/>
        </w:rPr>
        <w:t xml:space="preserve">This does not preclude the PSCCH to contain information about other carriers, as long as within the scope of the WID </w:t>
      </w:r>
    </w:p>
    <w:p w14:paraId="1971D26F" w14:textId="77777777" w:rsidR="00D44B8F" w:rsidRPr="00C90FA7" w:rsidRDefault="00D44B8F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65730041" w14:textId="3094A427" w:rsidR="00774A5F" w:rsidRPr="0032004A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In this contribution, we discuss </w:t>
      </w:r>
      <w:r w:rsidR="00D44B8F">
        <w:rPr>
          <w:rFonts w:ascii="Times New Roman" w:eastAsia="맑은 고딕" w:hAnsi="Times New Roman" w:hint="eastAsia"/>
          <w:iCs/>
          <w:sz w:val="22"/>
          <w:lang w:eastAsia="ko-KR"/>
        </w:rPr>
        <w:t xml:space="preserve">synchronization for sidelink carrier aggregation.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</w:p>
    <w:p w14:paraId="72252DC2" w14:textId="6602B77C" w:rsidR="00460907" w:rsidRPr="00196BA5" w:rsidRDefault="001D7B73" w:rsidP="00196BA5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595097CC" w14:textId="77777777" w:rsidR="00E649DB" w:rsidRDefault="00460907" w:rsidP="00B72B0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If i</w:t>
      </w:r>
      <w:r w:rsidR="00855768">
        <w:rPr>
          <w:rFonts w:eastAsia="맑은 고딕" w:hint="eastAsia"/>
          <w:iCs/>
          <w:lang w:val="en-US"/>
        </w:rPr>
        <w:t>ndependent synch source</w:t>
      </w:r>
      <w:r>
        <w:rPr>
          <w:rFonts w:eastAsia="맑은 고딕" w:hint="eastAsia"/>
          <w:iCs/>
          <w:lang w:val="en-US"/>
        </w:rPr>
        <w:t xml:space="preserve"> is selected between different carriers from a UE perspective, </w:t>
      </w:r>
      <w:r w:rsidR="00E649DB">
        <w:rPr>
          <w:rFonts w:eastAsia="맑은 고딕" w:hint="eastAsia"/>
          <w:iCs/>
          <w:lang w:val="en-US"/>
        </w:rPr>
        <w:t xml:space="preserve">the </w:t>
      </w:r>
      <w:r w:rsidR="006E2B09">
        <w:rPr>
          <w:rFonts w:eastAsia="맑은 고딕" w:hint="eastAsia"/>
          <w:iCs/>
          <w:lang w:val="en-US"/>
        </w:rPr>
        <w:t>subframe boundary</w:t>
      </w:r>
      <w:r w:rsidR="00196BA5">
        <w:rPr>
          <w:rFonts w:eastAsia="맑은 고딕" w:hint="eastAsia"/>
          <w:iCs/>
          <w:lang w:val="en-US"/>
        </w:rPr>
        <w:t xml:space="preserve"> </w:t>
      </w:r>
      <w:r w:rsidR="00E649DB">
        <w:rPr>
          <w:rFonts w:eastAsia="맑은 고딕" w:hint="eastAsia"/>
          <w:iCs/>
          <w:lang w:val="en-US"/>
        </w:rPr>
        <w:t>is</w:t>
      </w:r>
      <w:r w:rsidR="00196BA5">
        <w:rPr>
          <w:rFonts w:eastAsia="맑은 고딕" w:hint="eastAsia"/>
          <w:iCs/>
          <w:lang w:val="en-US"/>
        </w:rPr>
        <w:t xml:space="preserve"> different between carriers</w:t>
      </w:r>
      <w:r w:rsidR="00E649DB">
        <w:rPr>
          <w:rFonts w:eastAsia="맑은 고딕" w:hint="eastAsia"/>
          <w:iCs/>
          <w:lang w:val="en-US"/>
        </w:rPr>
        <w:t xml:space="preserve"> and DFN number can be different as well. This is because </w:t>
      </w:r>
      <w:r w:rsidR="00196BA5">
        <w:rPr>
          <w:rFonts w:eastAsia="맑은 고딕" w:hint="eastAsia"/>
          <w:iCs/>
          <w:lang w:val="en-US"/>
        </w:rPr>
        <w:t>sync</w:t>
      </w:r>
      <w:r w:rsidR="00B72B0A">
        <w:rPr>
          <w:rFonts w:eastAsia="맑은 고딕" w:hint="eastAsia"/>
          <w:iCs/>
          <w:lang w:val="en-US"/>
        </w:rPr>
        <w:t>hronization</w:t>
      </w:r>
      <w:r w:rsidR="00196BA5">
        <w:rPr>
          <w:rFonts w:eastAsia="맑은 고딕" w:hint="eastAsia"/>
          <w:iCs/>
          <w:lang w:val="en-US"/>
        </w:rPr>
        <w:t xml:space="preserve"> signal subframe</w:t>
      </w:r>
      <w:r w:rsidR="00E649DB">
        <w:rPr>
          <w:rFonts w:eastAsia="맑은 고딕" w:hint="eastAsia"/>
          <w:iCs/>
          <w:lang w:val="en-US"/>
        </w:rPr>
        <w:t xml:space="preserve"> number and boundary</w:t>
      </w:r>
      <w:r w:rsidR="00196BA5">
        <w:rPr>
          <w:rFonts w:eastAsia="맑은 고딕" w:hint="eastAsia"/>
          <w:iCs/>
          <w:lang w:val="en-US"/>
        </w:rPr>
        <w:t xml:space="preserve"> can be different. </w:t>
      </w:r>
    </w:p>
    <w:p w14:paraId="76E283E5" w14:textId="2D8CA2DC" w:rsidR="002E40C3" w:rsidRDefault="006E2B09" w:rsidP="00B72B0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 w:rsidRPr="006E2B09">
        <w:rPr>
          <w:rFonts w:eastAsia="맑은 고딕"/>
          <w:iCs/>
          <w:lang w:val="en-US"/>
        </w:rPr>
        <w:t xml:space="preserve">If the DFN number is different even </w:t>
      </w:r>
      <w:r>
        <w:rPr>
          <w:rFonts w:eastAsia="맑은 고딕" w:hint="eastAsia"/>
          <w:iCs/>
          <w:lang w:val="en-US"/>
        </w:rPr>
        <w:t>though</w:t>
      </w:r>
      <w:r w:rsidRPr="006E2B09">
        <w:rPr>
          <w:rFonts w:eastAsia="맑은 고딕"/>
          <w:iCs/>
          <w:lang w:val="en-US"/>
        </w:rPr>
        <w:t xml:space="preserve"> the subframe boundaries are the same, the positions of the resources to be reserved </w:t>
      </w:r>
      <w:r>
        <w:rPr>
          <w:rFonts w:eastAsia="맑은 고딕"/>
          <w:iCs/>
          <w:lang w:val="en-US"/>
        </w:rPr>
        <w:t>semi</w:t>
      </w:r>
      <w:r>
        <w:rPr>
          <w:rFonts w:eastAsia="맑은 고딕" w:hint="eastAsia"/>
          <w:iCs/>
          <w:lang w:val="en-US"/>
        </w:rPr>
        <w:t>-</w:t>
      </w:r>
      <w:r w:rsidRPr="006E2B09">
        <w:rPr>
          <w:rFonts w:eastAsia="맑은 고딕"/>
          <w:iCs/>
          <w:lang w:val="en-US"/>
        </w:rPr>
        <w:t xml:space="preserve">persistently between the carriers </w:t>
      </w:r>
      <w:r w:rsidR="002E40C3">
        <w:rPr>
          <w:rFonts w:eastAsia="맑은 고딕" w:hint="eastAsia"/>
          <w:iCs/>
          <w:lang w:val="en-US"/>
        </w:rPr>
        <w:t xml:space="preserve">from a UE perspective </w:t>
      </w:r>
      <w:r w:rsidR="00E544FB">
        <w:rPr>
          <w:rFonts w:eastAsia="맑은 고딕" w:hint="eastAsia"/>
          <w:iCs/>
          <w:lang w:val="en-US"/>
        </w:rPr>
        <w:t>can</w:t>
      </w:r>
      <w:r w:rsidR="00E649DB">
        <w:rPr>
          <w:rFonts w:eastAsia="맑은 고딕" w:hint="eastAsia"/>
          <w:iCs/>
          <w:lang w:val="en-US"/>
        </w:rPr>
        <w:t xml:space="preserve"> be</w:t>
      </w:r>
      <w:r w:rsidRPr="006E2B09">
        <w:rPr>
          <w:rFonts w:eastAsia="맑은 고딕"/>
          <w:iCs/>
          <w:lang w:val="en-US"/>
        </w:rPr>
        <w:t xml:space="preserve"> shifted</w:t>
      </w:r>
      <w:r w:rsidR="00E649DB">
        <w:rPr>
          <w:rFonts w:eastAsia="맑은 고딕" w:hint="eastAsia"/>
          <w:iCs/>
          <w:lang w:val="en-US"/>
        </w:rPr>
        <w:t xml:space="preserve"> in some time instant</w:t>
      </w:r>
      <w:r w:rsidRPr="006E2B09">
        <w:rPr>
          <w:rFonts w:eastAsia="맑은 고딕"/>
          <w:iCs/>
          <w:lang w:val="en-US"/>
        </w:rPr>
        <w:t>.</w:t>
      </w:r>
      <w:r w:rsidR="00B72B0A">
        <w:rPr>
          <w:rFonts w:eastAsia="맑은 고딕" w:hint="eastAsia"/>
          <w:iCs/>
          <w:lang w:val="en-US"/>
        </w:rPr>
        <w:t xml:space="preserve"> </w:t>
      </w:r>
      <w:r w:rsidR="002E40C3">
        <w:rPr>
          <w:rFonts w:eastAsia="맑은 고딕" w:hint="eastAsia"/>
          <w:iCs/>
          <w:lang w:val="en-US"/>
        </w:rPr>
        <w:t xml:space="preserve">This will cause transmit power </w:t>
      </w:r>
      <w:r w:rsidR="002E40C3">
        <w:rPr>
          <w:rFonts w:eastAsia="맑은 고딕"/>
          <w:iCs/>
          <w:lang w:val="en-US"/>
        </w:rPr>
        <w:t>fluctuation</w:t>
      </w:r>
      <w:r w:rsidR="002E40C3">
        <w:rPr>
          <w:rFonts w:eastAsia="맑은 고딕" w:hint="eastAsia"/>
          <w:iCs/>
          <w:lang w:val="en-US"/>
        </w:rPr>
        <w:t xml:space="preserve"> in a certain carrier since in some subframe(s) simultaneous transmission is occurred, but in the other subframe(s) individual transmission can be occurred. If transmit power is </w:t>
      </w:r>
      <w:r w:rsidR="002E40C3">
        <w:rPr>
          <w:rFonts w:eastAsia="맑은 고딕"/>
          <w:iCs/>
          <w:lang w:val="en-US"/>
        </w:rPr>
        <w:t>fluctuated</w:t>
      </w:r>
      <w:r w:rsidR="002E40C3">
        <w:rPr>
          <w:rFonts w:eastAsia="맑은 고딕" w:hint="eastAsia"/>
          <w:iCs/>
          <w:lang w:val="en-US"/>
        </w:rPr>
        <w:t xml:space="preserve">, sensing operation </w:t>
      </w:r>
      <w:r w:rsidR="00E649DB">
        <w:rPr>
          <w:rFonts w:eastAsia="맑은 고딕" w:hint="eastAsia"/>
          <w:iCs/>
          <w:lang w:val="en-US"/>
        </w:rPr>
        <w:t>may</w:t>
      </w:r>
      <w:r w:rsidR="002E40C3">
        <w:rPr>
          <w:rFonts w:eastAsia="맑은 고딕" w:hint="eastAsia"/>
          <w:iCs/>
          <w:lang w:val="en-US"/>
        </w:rPr>
        <w:t xml:space="preserve"> be unstable. </w:t>
      </w:r>
      <w:r w:rsidR="00B72B0A" w:rsidRPr="00B72B0A">
        <w:rPr>
          <w:rFonts w:eastAsia="맑은 고딕"/>
          <w:iCs/>
          <w:lang w:val="en-US"/>
        </w:rPr>
        <w:t xml:space="preserve">Furthermore, if the subframe boundary </w:t>
      </w:r>
      <w:r w:rsidR="00E649DB">
        <w:rPr>
          <w:rFonts w:eastAsia="맑은 고딕" w:hint="eastAsia"/>
          <w:iCs/>
          <w:lang w:val="en-US"/>
        </w:rPr>
        <w:t>is not aligned</w:t>
      </w:r>
      <w:r w:rsidR="00B72B0A" w:rsidRPr="00B72B0A">
        <w:rPr>
          <w:rFonts w:eastAsia="맑은 고딕"/>
          <w:iCs/>
          <w:lang w:val="en-US"/>
        </w:rPr>
        <w:t xml:space="preserve"> between carriers, the transmit p</w:t>
      </w:r>
      <w:r w:rsidR="00E649DB">
        <w:rPr>
          <w:rFonts w:eastAsia="맑은 고딕"/>
          <w:iCs/>
          <w:lang w:val="en-US"/>
        </w:rPr>
        <w:t>ower will not be fully utilized</w:t>
      </w:r>
      <w:r w:rsidR="00E649DB">
        <w:rPr>
          <w:rFonts w:eastAsia="맑은 고딕" w:hint="eastAsia"/>
          <w:iCs/>
          <w:lang w:val="en-US"/>
        </w:rPr>
        <w:t xml:space="preserve"> because UE should take the overlapped region into consideration for transmit power calculation.</w:t>
      </w:r>
    </w:p>
    <w:p w14:paraId="505282E7" w14:textId="4AE555CC" w:rsidR="002E40C3" w:rsidRDefault="002E40C3" w:rsidP="00B72B0A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2E40C3">
        <w:rPr>
          <w:rFonts w:eastAsia="맑은 고딕" w:hint="eastAsia"/>
          <w:b/>
          <w:iCs/>
          <w:lang w:val="en-US"/>
        </w:rPr>
        <w:t>Observation 1: If independent synch source is selected between different carriers from a UE perspective, DFN number as well as subframe boundary can be different between carriers since synchronization signal subframe can be different between carriers.</w:t>
      </w:r>
    </w:p>
    <w:p w14:paraId="5B195CC2" w14:textId="2120B842" w:rsidR="002E40C3" w:rsidRDefault="002E40C3" w:rsidP="00B72B0A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 xml:space="preserve">Observation 2: If DFN number is not aligned, </w:t>
      </w:r>
      <w:r w:rsidRPr="002E40C3">
        <w:rPr>
          <w:rFonts w:eastAsia="맑은 고딕"/>
          <w:b/>
          <w:iCs/>
          <w:lang w:val="en-US"/>
        </w:rPr>
        <w:t>the positions of the resources to be reserved semi-</w:t>
      </w:r>
      <w:r w:rsidRPr="002E40C3">
        <w:rPr>
          <w:rFonts w:eastAsia="맑은 고딕"/>
          <w:b/>
          <w:iCs/>
          <w:lang w:val="en-US"/>
        </w:rPr>
        <w:lastRenderedPageBreak/>
        <w:t>persistently between the carriers fr</w:t>
      </w:r>
      <w:r w:rsidR="00E544FB">
        <w:rPr>
          <w:rFonts w:eastAsia="맑은 고딕"/>
          <w:b/>
          <w:iCs/>
          <w:lang w:val="en-US"/>
        </w:rPr>
        <w:t xml:space="preserve">om a UE perspective </w:t>
      </w:r>
      <w:r w:rsidR="00E544FB">
        <w:rPr>
          <w:rFonts w:eastAsia="맑은 고딕" w:hint="eastAsia"/>
          <w:b/>
          <w:iCs/>
          <w:lang w:val="en-US"/>
        </w:rPr>
        <w:t xml:space="preserve">can be </w:t>
      </w:r>
      <w:r w:rsidRPr="002E40C3">
        <w:rPr>
          <w:rFonts w:eastAsia="맑은 고딕"/>
          <w:b/>
          <w:iCs/>
          <w:lang w:val="en-US"/>
        </w:rPr>
        <w:t>shifted</w:t>
      </w:r>
      <w:r>
        <w:rPr>
          <w:rFonts w:eastAsia="맑은 고딕" w:hint="eastAsia"/>
          <w:b/>
          <w:iCs/>
          <w:lang w:val="en-US"/>
        </w:rPr>
        <w:t xml:space="preserve"> even if the UE reserves a set of resources simultaneously between carriers in a certain time instant</w:t>
      </w:r>
      <w:r w:rsidRPr="002E40C3">
        <w:rPr>
          <w:rFonts w:eastAsia="맑은 고딕"/>
          <w:b/>
          <w:iCs/>
          <w:lang w:val="en-US"/>
        </w:rPr>
        <w:t>.</w:t>
      </w:r>
    </w:p>
    <w:p w14:paraId="42A7E88A" w14:textId="2C30185D" w:rsidR="002E40C3" w:rsidRPr="002E40C3" w:rsidRDefault="002E40C3" w:rsidP="00B72B0A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>Observation 3: I</w:t>
      </w:r>
      <w:r w:rsidRPr="002E40C3">
        <w:rPr>
          <w:rFonts w:eastAsia="맑은 고딕"/>
          <w:b/>
          <w:iCs/>
          <w:lang w:val="en-US"/>
        </w:rPr>
        <w:t>f the subframe boundary is different between carriers, the transmit power will not be fully utilized.</w:t>
      </w:r>
    </w:p>
    <w:p w14:paraId="62D73BEE" w14:textId="2D2F31CD" w:rsidR="00BB4853" w:rsidRDefault="00B72B0A" w:rsidP="00AB3ABD">
      <w:pPr>
        <w:pStyle w:val="LGTdoc"/>
        <w:spacing w:before="100" w:beforeAutospacing="1" w:afterAutospacing="1"/>
        <w:rPr>
          <w:rFonts w:eastAsia="맑은 고딕"/>
          <w:iCs/>
        </w:rPr>
      </w:pPr>
      <w:r>
        <w:rPr>
          <w:rFonts w:eastAsia="맑은 고딕" w:hint="eastAsia"/>
          <w:iCs/>
          <w:lang w:val="en-US"/>
        </w:rPr>
        <w:t xml:space="preserve">To prevent these issues, </w:t>
      </w:r>
      <w:r>
        <w:rPr>
          <w:rFonts w:eastAsia="맑은 고딕"/>
          <w:iCs/>
          <w:lang w:val="en-US"/>
        </w:rPr>
        <w:t>“</w:t>
      </w:r>
      <w:r>
        <w:rPr>
          <w:rFonts w:eastAsia="맑은 고딕" w:hint="eastAsia"/>
          <w:iCs/>
          <w:lang w:val="en-US"/>
        </w:rPr>
        <w:t>sidelink synchronization anchor carrier</w:t>
      </w:r>
      <w:r>
        <w:rPr>
          <w:rFonts w:eastAsia="맑은 고딕"/>
          <w:iCs/>
          <w:lang w:val="en-US"/>
        </w:rPr>
        <w:t>”</w:t>
      </w:r>
      <w:r>
        <w:rPr>
          <w:rFonts w:eastAsia="맑은 고딕" w:hint="eastAsia"/>
          <w:iCs/>
          <w:lang w:val="en-US"/>
        </w:rPr>
        <w:t xml:space="preserve"> needs to be defined. </w:t>
      </w:r>
      <w:r w:rsidRPr="00B72B0A">
        <w:rPr>
          <w:rFonts w:eastAsia="맑은 고딕"/>
          <w:iCs/>
        </w:rPr>
        <w:t>For the group of sidelink component carriers</w:t>
      </w:r>
      <w:r w:rsidR="00BB4853">
        <w:rPr>
          <w:rFonts w:eastAsia="맑은 고딕" w:hint="eastAsia"/>
          <w:iCs/>
        </w:rPr>
        <w:t xml:space="preserve"> (CCs)</w:t>
      </w:r>
      <w:r w:rsidRPr="00B72B0A">
        <w:rPr>
          <w:rFonts w:eastAsia="맑은 고딕"/>
          <w:iCs/>
        </w:rPr>
        <w:t>, common synchronization source priority (pre)configuration is used.</w:t>
      </w:r>
      <w:r>
        <w:rPr>
          <w:rFonts w:eastAsia="맑은 고딕" w:hint="eastAsia"/>
          <w:iCs/>
          <w:lang w:val="en-US"/>
        </w:rPr>
        <w:t xml:space="preserve"> </w:t>
      </w:r>
      <w:r w:rsidRPr="00B72B0A">
        <w:rPr>
          <w:rFonts w:eastAsia="맑은 고딕"/>
          <w:iCs/>
        </w:rPr>
        <w:t>A synchronizat</w:t>
      </w:r>
      <w:r>
        <w:rPr>
          <w:rFonts w:eastAsia="맑은 고딕"/>
          <w:iCs/>
        </w:rPr>
        <w:t>ion refere</w:t>
      </w:r>
      <w:bookmarkStart w:id="6" w:name="_GoBack"/>
      <w:bookmarkEnd w:id="6"/>
      <w:r>
        <w:rPr>
          <w:rFonts w:eastAsia="맑은 고딕"/>
          <w:iCs/>
        </w:rPr>
        <w:t xml:space="preserve">nce selected for the </w:t>
      </w:r>
      <w:r w:rsidRPr="00B72B0A">
        <w:rPr>
          <w:rFonts w:eastAsia="맑은 고딕"/>
          <w:iCs/>
        </w:rPr>
        <w:t>sidelink</w:t>
      </w:r>
      <w:r>
        <w:rPr>
          <w:rFonts w:eastAsia="맑은 고딕"/>
          <w:iCs/>
        </w:rPr>
        <w:t xml:space="preserve"> synchronization anchor carrier</w:t>
      </w:r>
      <w:r w:rsidRPr="00B72B0A">
        <w:rPr>
          <w:rFonts w:eastAsia="맑은 고딕"/>
          <w:iCs/>
        </w:rPr>
        <w:t xml:space="preserve"> is used for PSCCH/PSSCH transmission in any carrier within the group of sidelink </w:t>
      </w:r>
      <w:r w:rsidR="00BB4853">
        <w:rPr>
          <w:rFonts w:eastAsia="맑은 고딕" w:hint="eastAsia"/>
          <w:iCs/>
        </w:rPr>
        <w:t>CCs</w:t>
      </w:r>
      <w:r w:rsidRPr="00B72B0A">
        <w:rPr>
          <w:rFonts w:eastAsia="맑은 고딕"/>
          <w:iCs/>
        </w:rPr>
        <w:t>.</w:t>
      </w:r>
      <w:r>
        <w:rPr>
          <w:rFonts w:eastAsia="맑은 고딕" w:hint="eastAsia"/>
          <w:iCs/>
        </w:rPr>
        <w:t xml:space="preserve"> </w:t>
      </w:r>
      <w:r w:rsidRPr="00B72B0A">
        <w:rPr>
          <w:rFonts w:eastAsia="맑은 고딕"/>
          <w:iCs/>
        </w:rPr>
        <w:t>SLSS/PSBCH transmission should be based on the synchronization reference selection on sidelink synchronization anchor carrier.</w:t>
      </w:r>
      <w:r>
        <w:rPr>
          <w:rFonts w:eastAsia="맑은 고딕" w:hint="eastAsia"/>
          <w:iCs/>
        </w:rPr>
        <w:t xml:space="preserve"> When a UE selects a synchronization source in the sidelink synchronization anchor carrier, same SLSS/PSBCH needs to be transmitted to all carriers within the group of sidelink carriers for legacy UE</w:t>
      </w:r>
      <w:r>
        <w:rPr>
          <w:rFonts w:eastAsia="맑은 고딕"/>
          <w:iCs/>
        </w:rPr>
        <w:t>’</w:t>
      </w:r>
      <w:r>
        <w:rPr>
          <w:rFonts w:eastAsia="맑은 고딕" w:hint="eastAsia"/>
          <w:iCs/>
        </w:rPr>
        <w:t xml:space="preserve">s synchronization procedure. If there is only rel. 15 UEs </w:t>
      </w:r>
      <w:r w:rsidR="002E40C3">
        <w:rPr>
          <w:rFonts w:eastAsia="맑은 고딕" w:hint="eastAsia"/>
          <w:iCs/>
        </w:rPr>
        <w:t>in some area, SLSS/PSBCH</w:t>
      </w:r>
      <w:r>
        <w:rPr>
          <w:rFonts w:eastAsia="맑은 고딕" w:hint="eastAsia"/>
          <w:iCs/>
        </w:rPr>
        <w:t xml:space="preserve"> can be transmitted only in the sidelink synchronization anchor carrier for power efficiency. </w:t>
      </w:r>
      <w:r w:rsidR="00E544FB">
        <w:rPr>
          <w:rFonts w:eastAsia="맑은 고딕" w:hint="eastAsia"/>
          <w:iCs/>
        </w:rPr>
        <w:t xml:space="preserve">In other words, </w:t>
      </w:r>
      <w:r w:rsidR="00E544FB" w:rsidRPr="00E544FB">
        <w:rPr>
          <w:rFonts w:eastAsia="맑은 고딕" w:hint="eastAsia"/>
        </w:rPr>
        <w:t>when there is no rel. 14 UE in a carrier</w:t>
      </w:r>
      <w:r w:rsidR="004A6F57">
        <w:rPr>
          <w:rFonts w:eastAsia="맑은 고딕" w:hint="eastAsia"/>
        </w:rPr>
        <w:t xml:space="preserve"> and all the UEs in the carrier are rel. 15 UE that can use SLSS/PSBCH in another carrier (the anchor carrier)</w:t>
      </w:r>
      <w:r w:rsidR="00E544FB" w:rsidRPr="00E544FB">
        <w:rPr>
          <w:rFonts w:eastAsia="맑은 고딕" w:hint="eastAsia"/>
        </w:rPr>
        <w:t xml:space="preserve">, </w:t>
      </w:r>
      <w:r w:rsidR="004A6F57">
        <w:rPr>
          <w:rFonts w:eastAsia="맑은 고딕" w:hint="eastAsia"/>
        </w:rPr>
        <w:t xml:space="preserve">then </w:t>
      </w:r>
      <w:r w:rsidR="00E544FB" w:rsidRPr="00E544FB">
        <w:rPr>
          <w:rFonts w:eastAsia="맑은 고딕" w:hint="eastAsia"/>
        </w:rPr>
        <w:t xml:space="preserve">SLSS/PSBCH </w:t>
      </w:r>
      <w:r w:rsidR="004A6F57">
        <w:rPr>
          <w:rFonts w:eastAsia="맑은 고딕" w:hint="eastAsia"/>
        </w:rPr>
        <w:t>does not need to be transmitted on the carrier, e.g., in order not to waste the transmit power</w:t>
      </w:r>
      <w:r w:rsidR="00E544FB" w:rsidRPr="00E544FB">
        <w:rPr>
          <w:rFonts w:eastAsia="맑은 고딕" w:hint="eastAsia"/>
        </w:rPr>
        <w:t>.</w:t>
      </w:r>
      <w:r w:rsidR="00456C5B">
        <w:rPr>
          <w:rFonts w:eastAsia="맑은 고딕" w:hint="eastAsia"/>
        </w:rPr>
        <w:t xml:space="preserve"> In a component carrier, SLSS/PSBCH transmission is configured by network or preconfigured for out-of-coverage. Note that this operation is already supported. If sync-configuration field </w:t>
      </w:r>
      <w:r w:rsidR="00456C5B">
        <w:rPr>
          <w:rFonts w:eastAsia="맑은 고딕"/>
        </w:rPr>
        <w:t xml:space="preserve">is </w:t>
      </w:r>
      <w:r w:rsidR="00456C5B">
        <w:rPr>
          <w:rFonts w:eastAsia="맑은 고딕" w:hint="eastAsia"/>
        </w:rPr>
        <w:t xml:space="preserve">not provided since it is </w:t>
      </w:r>
      <w:r w:rsidR="00456C5B">
        <w:rPr>
          <w:rFonts w:eastAsia="맑은 고딕"/>
        </w:rPr>
        <w:t>optional</w:t>
      </w:r>
      <w:r w:rsidR="00456C5B">
        <w:rPr>
          <w:rFonts w:eastAsia="맑은 고딕" w:hint="eastAsia"/>
        </w:rPr>
        <w:t>, there is no SLSS/PSBCH transmission</w:t>
      </w:r>
      <w:r w:rsidR="00456C5B">
        <w:rPr>
          <w:rFonts w:eastAsia="맑은 고딕"/>
        </w:rPr>
        <w:t>.</w:t>
      </w:r>
      <w:r w:rsidR="00E544FB" w:rsidRPr="00E544FB">
        <w:rPr>
          <w:rFonts w:eastAsia="맑은 고딕" w:hint="eastAsia"/>
        </w:rPr>
        <w:t xml:space="preserve"> </w:t>
      </w:r>
      <w:r w:rsidR="002E40C3">
        <w:rPr>
          <w:rFonts w:eastAsia="맑은 고딕" w:hint="eastAsia"/>
          <w:iCs/>
        </w:rPr>
        <w:t>For different services</w:t>
      </w:r>
      <w:r w:rsidR="00BB4853">
        <w:rPr>
          <w:rFonts w:eastAsia="맑은 고딕" w:hint="eastAsia"/>
          <w:iCs/>
        </w:rPr>
        <w:t xml:space="preserve"> or in regional boundary</w:t>
      </w:r>
      <w:r w:rsidR="002E40C3">
        <w:rPr>
          <w:rFonts w:eastAsia="맑은 고딕" w:hint="eastAsia"/>
          <w:iCs/>
        </w:rPr>
        <w:t>, there could be multiple sidelink synchronization anchor</w:t>
      </w:r>
      <w:r w:rsidR="00BB4853">
        <w:rPr>
          <w:rFonts w:eastAsia="맑은 고딕" w:hint="eastAsia"/>
          <w:iCs/>
        </w:rPr>
        <w:t xml:space="preserve"> carriers. </w:t>
      </w:r>
      <w:r w:rsidR="00BB4853" w:rsidRPr="00BB4853">
        <w:rPr>
          <w:rFonts w:eastAsia="맑은 고딕"/>
          <w:iCs/>
        </w:rPr>
        <w:t>How many asynchronous CCs can be transmitted and received simultaneously depends on UE capability.</w:t>
      </w:r>
    </w:p>
    <w:p w14:paraId="4F1E8674" w14:textId="7F4984E1" w:rsidR="002B53FD" w:rsidRPr="002B53FD" w:rsidRDefault="002E40C3" w:rsidP="002B53FD">
      <w:pPr>
        <w:widowControl w:val="0"/>
        <w:wordWrap w:val="0"/>
        <w:spacing w:after="200" w:line="276" w:lineRule="auto"/>
        <w:rPr>
          <w:rFonts w:ascii="Times New Roman" w:hAnsi="Times New Roman"/>
          <w:b/>
          <w:sz w:val="22"/>
          <w:szCs w:val="22"/>
        </w:rPr>
      </w:pPr>
      <w:r w:rsidRPr="002B53FD">
        <w:rPr>
          <w:rFonts w:ascii="Times New Roman" w:eastAsia="맑은 고딕" w:hAnsi="Times New Roman"/>
          <w:b/>
          <w:iCs/>
          <w:sz w:val="22"/>
          <w:szCs w:val="22"/>
          <w:lang w:val="en-US"/>
        </w:rPr>
        <w:t xml:space="preserve">Proposal 1: </w:t>
      </w:r>
      <w:r w:rsidR="002B53FD" w:rsidRPr="002B53FD">
        <w:rPr>
          <w:rFonts w:ascii="Times New Roman" w:hAnsi="Times New Roman"/>
          <w:b/>
          <w:sz w:val="22"/>
          <w:szCs w:val="22"/>
        </w:rPr>
        <w:t>Define sidelink synchronization anchor carrier</w:t>
      </w:r>
      <w:r w:rsidR="00E544FB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  <w:r w:rsidR="002B53FD" w:rsidRPr="002B53FD">
        <w:rPr>
          <w:rFonts w:ascii="Times New Roman" w:hAnsi="Times New Roman"/>
          <w:b/>
          <w:sz w:val="22"/>
          <w:szCs w:val="22"/>
        </w:rPr>
        <w:t xml:space="preserve"> </w:t>
      </w:r>
    </w:p>
    <w:p w14:paraId="486BEEF6" w14:textId="77777777" w:rsidR="002B53FD" w:rsidRPr="002B53FD" w:rsidRDefault="002B53FD" w:rsidP="002B53FD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>For the group of sidelink component carriers, common synchronization source priority (pre)configuration is used.</w:t>
      </w:r>
    </w:p>
    <w:p w14:paraId="6FBB2663" w14:textId="77777777" w:rsidR="002B53FD" w:rsidRPr="002B53FD" w:rsidRDefault="002B53FD" w:rsidP="002B53FD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>A synchronization reference selected for the “sidelink synchronization anchor carrier” is used for PSCCH/PSSCH transmission in any carrier within the group of sidelink component carriers.</w:t>
      </w:r>
    </w:p>
    <w:p w14:paraId="79BC87B1" w14:textId="77777777" w:rsidR="002B53FD" w:rsidRPr="002B53FD" w:rsidRDefault="002B53FD" w:rsidP="002B53FD">
      <w:pPr>
        <w:pStyle w:val="af8"/>
        <w:widowControl w:val="0"/>
        <w:numPr>
          <w:ilvl w:val="1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 xml:space="preserve">SLSS/PSBCH transmission should be based on the synchronization reference selection on sidelink synchronization anchor carrier. </w:t>
      </w:r>
    </w:p>
    <w:p w14:paraId="50AE8883" w14:textId="6B674892" w:rsidR="002B53FD" w:rsidRPr="00E649DB" w:rsidRDefault="002B53FD" w:rsidP="002B53FD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>For the group of sidelink component carriers, subframe boundaries and DFN nu</w:t>
      </w:r>
      <w:r w:rsidR="00E649DB">
        <w:rPr>
          <w:rFonts w:ascii="Times New Roman" w:hAnsi="Times New Roman" w:cs="Times New Roman"/>
          <w:b/>
        </w:rPr>
        <w:t>mbers are aligned.</w:t>
      </w:r>
    </w:p>
    <w:p w14:paraId="7457F7C8" w14:textId="6FAA2232" w:rsidR="00E649DB" w:rsidRPr="00E544FB" w:rsidRDefault="00E649DB" w:rsidP="00E649DB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sz w:val="22"/>
          <w:lang w:eastAsia="ko-KR"/>
        </w:rPr>
      </w:pPr>
      <w:r w:rsidRPr="00E544FB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2: </w:t>
      </w:r>
      <w:r w:rsidR="00B94CD3">
        <w:rPr>
          <w:rFonts w:ascii="Times New Roman" w:eastAsia="맑은 고딕" w:hAnsi="Times New Roman" w:hint="eastAsia"/>
          <w:b/>
          <w:sz w:val="22"/>
          <w:lang w:eastAsia="ko-KR"/>
        </w:rPr>
        <w:t xml:space="preserve">In </w:t>
      </w:r>
      <w:r w:rsidR="00617115">
        <w:rPr>
          <w:rFonts w:ascii="Times New Roman" w:eastAsia="맑은 고딕" w:hAnsi="Times New Roman" w:hint="eastAsia"/>
          <w:b/>
          <w:sz w:val="22"/>
          <w:lang w:eastAsia="ko-KR"/>
        </w:rPr>
        <w:t xml:space="preserve">a </w:t>
      </w:r>
      <w:r w:rsidR="00EE01B5">
        <w:rPr>
          <w:rFonts w:ascii="Times New Roman" w:eastAsia="맑은 고딕" w:hAnsi="Times New Roman" w:hint="eastAsia"/>
          <w:b/>
          <w:sz w:val="22"/>
          <w:lang w:eastAsia="ko-KR"/>
        </w:rPr>
        <w:t xml:space="preserve">component </w:t>
      </w:r>
      <w:r w:rsidR="00617115">
        <w:rPr>
          <w:rFonts w:ascii="Times New Roman" w:eastAsia="맑은 고딕" w:hAnsi="Times New Roman" w:hint="eastAsia"/>
          <w:b/>
          <w:sz w:val="22"/>
          <w:lang w:eastAsia="ko-KR"/>
        </w:rPr>
        <w:t>carrier</w:t>
      </w:r>
      <w:r w:rsidR="00B94CD3">
        <w:rPr>
          <w:rFonts w:ascii="Times New Roman" w:eastAsia="맑은 고딕" w:hAnsi="Times New Roman" w:hint="eastAsia"/>
          <w:b/>
          <w:sz w:val="22"/>
          <w:lang w:eastAsia="ko-KR"/>
        </w:rPr>
        <w:t xml:space="preserve">, </w:t>
      </w:r>
      <w:r w:rsidRPr="00E544FB">
        <w:rPr>
          <w:rFonts w:ascii="Times New Roman" w:eastAsia="맑은 고딕" w:hAnsi="Times New Roman" w:hint="eastAsia"/>
          <w:b/>
          <w:sz w:val="22"/>
          <w:lang w:eastAsia="ko-KR"/>
        </w:rPr>
        <w:t xml:space="preserve">SLSS/PSBCH transmission is </w:t>
      </w:r>
      <w:r w:rsidR="00B94CD3">
        <w:rPr>
          <w:rFonts w:ascii="Times New Roman" w:eastAsia="맑은 고딕" w:hAnsi="Times New Roman" w:hint="eastAsia"/>
          <w:b/>
          <w:sz w:val="22"/>
          <w:lang w:eastAsia="ko-KR"/>
        </w:rPr>
        <w:t>configured by network or preconfigured for out-of-coverage</w:t>
      </w:r>
      <w:r w:rsidR="00E544FB" w:rsidRPr="00E544FB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="003F5815" w:rsidRPr="003F5815">
        <w:rPr>
          <w:rFonts w:ascii="Times New Roman" w:eastAsia="맑은 고딕" w:hAnsi="Times New Roman"/>
          <w:b/>
          <w:sz w:val="22"/>
          <w:lang w:eastAsia="ko-KR"/>
        </w:rPr>
        <w:t>Note that this operation is already supported.</w:t>
      </w: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421BEC3D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 on</w:t>
      </w:r>
      <w:r w:rsidR="00A97516">
        <w:rPr>
          <w:rFonts w:hint="eastAsia"/>
          <w:szCs w:val="22"/>
          <w:lang w:val="en-US"/>
        </w:rPr>
        <w:t xml:space="preserve"> synchronization for sidelink CA</w:t>
      </w:r>
      <w:r w:rsidRPr="00773C67">
        <w:rPr>
          <w:szCs w:val="22"/>
          <w:lang w:val="en-US"/>
        </w:rPr>
        <w:t>. The discussions can be summarized as follows:</w:t>
      </w:r>
    </w:p>
    <w:p w14:paraId="1282CD80" w14:textId="77777777" w:rsidR="00893194" w:rsidRDefault="00893194" w:rsidP="00893194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2E40C3">
        <w:rPr>
          <w:rFonts w:eastAsia="맑은 고딕" w:hint="eastAsia"/>
          <w:b/>
          <w:iCs/>
          <w:lang w:val="en-US"/>
        </w:rPr>
        <w:t>Observation 1: If independent synch source is selected between different carriers from a UE perspective, DFN number as well as subframe boundary can be different between carriers since synchronization signal subframe can be different between carriers.</w:t>
      </w:r>
    </w:p>
    <w:p w14:paraId="3F125894" w14:textId="77777777" w:rsidR="00893194" w:rsidRDefault="00893194" w:rsidP="00893194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 xml:space="preserve">Observation 2: If DFN number is not aligned, </w:t>
      </w:r>
      <w:r w:rsidRPr="002E40C3">
        <w:rPr>
          <w:rFonts w:eastAsia="맑은 고딕"/>
          <w:b/>
          <w:iCs/>
          <w:lang w:val="en-US"/>
        </w:rPr>
        <w:t>the positions of the resources to be reserved semi-</w:t>
      </w:r>
      <w:r w:rsidRPr="002E40C3">
        <w:rPr>
          <w:rFonts w:eastAsia="맑은 고딕"/>
          <w:b/>
          <w:iCs/>
          <w:lang w:val="en-US"/>
        </w:rPr>
        <w:lastRenderedPageBreak/>
        <w:t>persistently between the carriers fr</w:t>
      </w:r>
      <w:r>
        <w:rPr>
          <w:rFonts w:eastAsia="맑은 고딕"/>
          <w:b/>
          <w:iCs/>
          <w:lang w:val="en-US"/>
        </w:rPr>
        <w:t xml:space="preserve">om a UE perspective </w:t>
      </w:r>
      <w:r>
        <w:rPr>
          <w:rFonts w:eastAsia="맑은 고딕" w:hint="eastAsia"/>
          <w:b/>
          <w:iCs/>
          <w:lang w:val="en-US"/>
        </w:rPr>
        <w:t xml:space="preserve">can be </w:t>
      </w:r>
      <w:r w:rsidRPr="002E40C3">
        <w:rPr>
          <w:rFonts w:eastAsia="맑은 고딕"/>
          <w:b/>
          <w:iCs/>
          <w:lang w:val="en-US"/>
        </w:rPr>
        <w:t>shifted</w:t>
      </w:r>
      <w:r>
        <w:rPr>
          <w:rFonts w:eastAsia="맑은 고딕" w:hint="eastAsia"/>
          <w:b/>
          <w:iCs/>
          <w:lang w:val="en-US"/>
        </w:rPr>
        <w:t xml:space="preserve"> even if the UE reserves a set of resources simultaneously between carriers in a certain time instant</w:t>
      </w:r>
      <w:r w:rsidRPr="002E40C3">
        <w:rPr>
          <w:rFonts w:eastAsia="맑은 고딕"/>
          <w:b/>
          <w:iCs/>
          <w:lang w:val="en-US"/>
        </w:rPr>
        <w:t>.</w:t>
      </w:r>
    </w:p>
    <w:p w14:paraId="48277297" w14:textId="3DDCFEA2" w:rsidR="00A97516" w:rsidRPr="002E40C3" w:rsidRDefault="00893194" w:rsidP="00893194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>Observation 3: I</w:t>
      </w:r>
      <w:r w:rsidRPr="002E40C3">
        <w:rPr>
          <w:rFonts w:eastAsia="맑은 고딕"/>
          <w:b/>
          <w:iCs/>
          <w:lang w:val="en-US"/>
        </w:rPr>
        <w:t>f the subframe boundary is different between carriers, the transmit power will not be fully utilized.</w:t>
      </w:r>
    </w:p>
    <w:p w14:paraId="3F43EC13" w14:textId="77777777" w:rsidR="00A97516" w:rsidRPr="002B53FD" w:rsidRDefault="00A97516" w:rsidP="00A97516">
      <w:pPr>
        <w:widowControl w:val="0"/>
        <w:wordWrap w:val="0"/>
        <w:spacing w:after="200" w:line="276" w:lineRule="auto"/>
        <w:rPr>
          <w:rFonts w:ascii="Times New Roman" w:hAnsi="Times New Roman"/>
          <w:b/>
          <w:sz w:val="22"/>
          <w:szCs w:val="22"/>
        </w:rPr>
      </w:pPr>
      <w:r w:rsidRPr="002B53FD">
        <w:rPr>
          <w:rFonts w:ascii="Times New Roman" w:eastAsia="맑은 고딕" w:hAnsi="Times New Roman"/>
          <w:b/>
          <w:iCs/>
          <w:sz w:val="22"/>
          <w:szCs w:val="22"/>
          <w:lang w:val="en-US"/>
        </w:rPr>
        <w:t xml:space="preserve">Proposal 1: </w:t>
      </w:r>
      <w:r w:rsidRPr="002B53FD">
        <w:rPr>
          <w:rFonts w:ascii="Times New Roman" w:hAnsi="Times New Roman"/>
          <w:b/>
          <w:sz w:val="22"/>
          <w:szCs w:val="22"/>
        </w:rPr>
        <w:t xml:space="preserve">Define sidelink synchronization anchor carrier </w:t>
      </w:r>
    </w:p>
    <w:p w14:paraId="2BC462C1" w14:textId="77777777" w:rsidR="00A97516" w:rsidRPr="002B53FD" w:rsidRDefault="00A97516" w:rsidP="00A97516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>For the group of sidelink component carriers, common synchronization source priority (pre)configuration is used.</w:t>
      </w:r>
    </w:p>
    <w:p w14:paraId="280D5564" w14:textId="77777777" w:rsidR="00A97516" w:rsidRPr="002B53FD" w:rsidRDefault="00A97516" w:rsidP="00A97516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>A synchronization reference selected for the “sidelink synchronization anchor carrier” is used for PSCCH/PSSCH transmission in any carrier within the group of sidelink component carriers.</w:t>
      </w:r>
    </w:p>
    <w:p w14:paraId="2291978D" w14:textId="77777777" w:rsidR="00A97516" w:rsidRPr="002B53FD" w:rsidRDefault="00A97516" w:rsidP="00A97516">
      <w:pPr>
        <w:pStyle w:val="af8"/>
        <w:widowControl w:val="0"/>
        <w:numPr>
          <w:ilvl w:val="1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 xml:space="preserve">SLSS/PSBCH transmission should be based on the synchronization reference selection on sidelink synchronization anchor carrier. </w:t>
      </w:r>
    </w:p>
    <w:p w14:paraId="466FB4DE" w14:textId="77777777" w:rsidR="00A97516" w:rsidRPr="002B53FD" w:rsidRDefault="00A97516" w:rsidP="00A97516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 xml:space="preserve">For the group of sidelink component carriers, subframe boundaries and DFN numbers are aligned. </w:t>
      </w:r>
    </w:p>
    <w:p w14:paraId="621F49DA" w14:textId="5A3CE94D" w:rsidR="00B94CD3" w:rsidRPr="00B94CD3" w:rsidRDefault="00B94CD3" w:rsidP="00B94CD3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sz w:val="22"/>
          <w:lang w:eastAsia="ko-KR"/>
        </w:rPr>
      </w:pPr>
      <w:r w:rsidRPr="00B94CD3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2: </w:t>
      </w:r>
      <w:r w:rsidR="00617115">
        <w:rPr>
          <w:rFonts w:ascii="Times New Roman" w:eastAsia="맑은 고딕" w:hAnsi="Times New Roman" w:hint="eastAsia"/>
          <w:b/>
          <w:sz w:val="22"/>
          <w:lang w:eastAsia="ko-KR"/>
        </w:rPr>
        <w:t xml:space="preserve">In a </w:t>
      </w:r>
      <w:r w:rsidR="00EE01B5">
        <w:rPr>
          <w:rFonts w:ascii="Times New Roman" w:eastAsia="맑은 고딕" w:hAnsi="Times New Roman" w:hint="eastAsia"/>
          <w:b/>
          <w:sz w:val="22"/>
          <w:lang w:eastAsia="ko-KR"/>
        </w:rPr>
        <w:t xml:space="preserve">component </w:t>
      </w:r>
      <w:r w:rsidR="00617115">
        <w:rPr>
          <w:rFonts w:ascii="Times New Roman" w:eastAsia="맑은 고딕" w:hAnsi="Times New Roman" w:hint="eastAsia"/>
          <w:b/>
          <w:sz w:val="22"/>
          <w:lang w:eastAsia="ko-KR"/>
        </w:rPr>
        <w:t>carrier</w:t>
      </w:r>
      <w:r w:rsidRPr="00B94CD3">
        <w:rPr>
          <w:rFonts w:ascii="Times New Roman" w:eastAsia="맑은 고딕" w:hAnsi="Times New Roman" w:hint="eastAsia"/>
          <w:b/>
          <w:sz w:val="22"/>
          <w:lang w:eastAsia="ko-KR"/>
        </w:rPr>
        <w:t xml:space="preserve">, SLSS/PSBCH transmission is configured by network or preconfigured for out-of-coverage. </w:t>
      </w:r>
      <w:r w:rsidR="003F5815" w:rsidRPr="003F5815">
        <w:rPr>
          <w:rFonts w:ascii="Times New Roman" w:eastAsia="맑은 고딕" w:hAnsi="Times New Roman"/>
          <w:b/>
          <w:sz w:val="22"/>
          <w:lang w:eastAsia="ko-KR"/>
        </w:rPr>
        <w:t>Note that this operation is already supported.</w:t>
      </w:r>
    </w:p>
    <w:p w14:paraId="4FC52773" w14:textId="77777777" w:rsidR="0032004A" w:rsidRPr="00B94CD3" w:rsidRDefault="0032004A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</w:p>
    <w:bookmarkEnd w:id="4"/>
    <w:bookmarkEnd w:id="5"/>
    <w:p w14:paraId="57B97A07" w14:textId="77777777"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B4C12" w14:textId="77777777" w:rsidR="008F352A" w:rsidRDefault="008F352A" w:rsidP="00796430">
      <w:r>
        <w:separator/>
      </w:r>
    </w:p>
  </w:endnote>
  <w:endnote w:type="continuationSeparator" w:id="0">
    <w:p w14:paraId="355BD03B" w14:textId="77777777" w:rsidR="008F352A" w:rsidRDefault="008F352A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379E4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379E4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8162F" w14:textId="77777777" w:rsidR="008F352A" w:rsidRDefault="008F352A" w:rsidP="00796430">
      <w:r>
        <w:separator/>
      </w:r>
    </w:p>
  </w:footnote>
  <w:footnote w:type="continuationSeparator" w:id="0">
    <w:p w14:paraId="4D6F32A6" w14:textId="77777777" w:rsidR="008F352A" w:rsidRDefault="008F352A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8F323D"/>
    <w:multiLevelType w:val="hybridMultilevel"/>
    <w:tmpl w:val="31669B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1D115C8D"/>
    <w:multiLevelType w:val="hybridMultilevel"/>
    <w:tmpl w:val="078CD492"/>
    <w:lvl w:ilvl="0" w:tplc="3B48B7D6">
      <w:start w:val="3"/>
      <w:numFmt w:val="chosung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E97200"/>
    <w:multiLevelType w:val="hybridMultilevel"/>
    <w:tmpl w:val="49080A50"/>
    <w:lvl w:ilvl="0" w:tplc="5458401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DF5287D"/>
    <w:multiLevelType w:val="hybridMultilevel"/>
    <w:tmpl w:val="F26EE7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E521B85"/>
    <w:multiLevelType w:val="hybridMultilevel"/>
    <w:tmpl w:val="D60C4A2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0DE34BC"/>
    <w:multiLevelType w:val="singleLevel"/>
    <w:tmpl w:val="1BAE5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1AB6D5D"/>
    <w:multiLevelType w:val="hybridMultilevel"/>
    <w:tmpl w:val="AB36B77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24694C"/>
    <w:multiLevelType w:val="hybridMultilevel"/>
    <w:tmpl w:val="CA5E11A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A250056"/>
    <w:multiLevelType w:val="hybridMultilevel"/>
    <w:tmpl w:val="4478133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C05784F"/>
    <w:multiLevelType w:val="hybridMultilevel"/>
    <w:tmpl w:val="82AECE94"/>
    <w:lvl w:ilvl="0" w:tplc="E95AE59E">
      <w:start w:val="6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51515F6"/>
    <w:multiLevelType w:val="hybridMultilevel"/>
    <w:tmpl w:val="2E480D20"/>
    <w:lvl w:ilvl="0" w:tplc="62B40828">
      <w:start w:val="5"/>
      <w:numFmt w:val="lowerLetter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68F53D6B"/>
    <w:multiLevelType w:val="hybridMultilevel"/>
    <w:tmpl w:val="2200A8FE"/>
    <w:lvl w:ilvl="0" w:tplc="BF3E3A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6EF33708"/>
    <w:multiLevelType w:val="hybridMultilevel"/>
    <w:tmpl w:val="F88EF11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5">
    <w:nsid w:val="6F501BEF"/>
    <w:multiLevelType w:val="hybridMultilevel"/>
    <w:tmpl w:val="B49C579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6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7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8355C45"/>
    <w:multiLevelType w:val="hybridMultilevel"/>
    <w:tmpl w:val="067E914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14"/>
  </w:num>
  <w:num w:numId="4">
    <w:abstractNumId w:val="15"/>
  </w:num>
  <w:num w:numId="5">
    <w:abstractNumId w:val="8"/>
  </w:num>
  <w:num w:numId="6">
    <w:abstractNumId w:val="24"/>
  </w:num>
  <w:num w:numId="7">
    <w:abstractNumId w:val="34"/>
  </w:num>
  <w:num w:numId="8">
    <w:abstractNumId w:val="9"/>
  </w:num>
  <w:num w:numId="9">
    <w:abstractNumId w:val="6"/>
  </w:num>
  <w:num w:numId="10">
    <w:abstractNumId w:val="13"/>
  </w:num>
  <w:num w:numId="11">
    <w:abstractNumId w:val="1"/>
  </w:num>
  <w:num w:numId="12">
    <w:abstractNumId w:val="31"/>
  </w:num>
  <w:num w:numId="13">
    <w:abstractNumId w:val="5"/>
  </w:num>
  <w:num w:numId="14">
    <w:abstractNumId w:val="19"/>
  </w:num>
  <w:num w:numId="15">
    <w:abstractNumId w:val="36"/>
  </w:num>
  <w:num w:numId="16">
    <w:abstractNumId w:val="25"/>
  </w:num>
  <w:num w:numId="17">
    <w:abstractNumId w:val="43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30"/>
  </w:num>
  <w:num w:numId="20">
    <w:abstractNumId w:val="3"/>
  </w:num>
  <w:num w:numId="21">
    <w:abstractNumId w:val="32"/>
  </w:num>
  <w:num w:numId="22">
    <w:abstractNumId w:val="40"/>
  </w:num>
  <w:num w:numId="23">
    <w:abstractNumId w:val="21"/>
  </w:num>
  <w:num w:numId="24">
    <w:abstractNumId w:val="38"/>
  </w:num>
  <w:num w:numId="25">
    <w:abstractNumId w:val="23"/>
  </w:num>
  <w:num w:numId="26">
    <w:abstractNumId w:val="4"/>
  </w:num>
  <w:num w:numId="27">
    <w:abstractNumId w:val="47"/>
  </w:num>
  <w:num w:numId="28">
    <w:abstractNumId w:val="12"/>
  </w:num>
  <w:num w:numId="29">
    <w:abstractNumId w:val="26"/>
  </w:num>
  <w:num w:numId="30">
    <w:abstractNumId w:val="39"/>
  </w:num>
  <w:num w:numId="31">
    <w:abstractNumId w:val="27"/>
  </w:num>
  <w:num w:numId="32">
    <w:abstractNumId w:val="7"/>
  </w:num>
  <w:num w:numId="33">
    <w:abstractNumId w:val="41"/>
  </w:num>
  <w:num w:numId="34">
    <w:abstractNumId w:val="37"/>
  </w:num>
  <w:num w:numId="35">
    <w:abstractNumId w:val="45"/>
  </w:num>
  <w:num w:numId="36">
    <w:abstractNumId w:val="17"/>
  </w:num>
  <w:num w:numId="37">
    <w:abstractNumId w:val="22"/>
  </w:num>
  <w:num w:numId="38">
    <w:abstractNumId w:val="46"/>
  </w:num>
  <w:num w:numId="39">
    <w:abstractNumId w:val="44"/>
  </w:num>
  <w:num w:numId="40">
    <w:abstractNumId w:val="35"/>
  </w:num>
  <w:num w:numId="41">
    <w:abstractNumId w:val="48"/>
  </w:num>
  <w:num w:numId="42">
    <w:abstractNumId w:val="20"/>
  </w:num>
  <w:num w:numId="43">
    <w:abstractNumId w:val="11"/>
  </w:num>
  <w:num w:numId="44">
    <w:abstractNumId w:val="16"/>
  </w:num>
  <w:num w:numId="45">
    <w:abstractNumId w:val="28"/>
  </w:num>
  <w:num w:numId="46">
    <w:abstractNumId w:val="10"/>
  </w:num>
  <w:num w:numId="47">
    <w:abstractNumId w:val="33"/>
  </w:num>
  <w:num w:numId="48">
    <w:abstractNumId w:val="42"/>
  </w:num>
  <w:num w:numId="4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957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4D3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310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2CDD"/>
    <w:rsid w:val="000F426B"/>
    <w:rsid w:val="000F46B7"/>
    <w:rsid w:val="000F4847"/>
    <w:rsid w:val="000F65F0"/>
    <w:rsid w:val="000F72B0"/>
    <w:rsid w:val="000F772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DA9"/>
    <w:rsid w:val="00134313"/>
    <w:rsid w:val="0013456D"/>
    <w:rsid w:val="00135BA3"/>
    <w:rsid w:val="00136E67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D3E"/>
    <w:rsid w:val="00194EA5"/>
    <w:rsid w:val="0019550D"/>
    <w:rsid w:val="001956DF"/>
    <w:rsid w:val="001964B0"/>
    <w:rsid w:val="00196BA5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16E4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6DA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3FD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0C3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004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52B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6283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67D83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87EC8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1F49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5815"/>
    <w:rsid w:val="003F7552"/>
    <w:rsid w:val="003F7BF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EF8"/>
    <w:rsid w:val="00426FCB"/>
    <w:rsid w:val="00427B5F"/>
    <w:rsid w:val="00431692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6E6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6C5B"/>
    <w:rsid w:val="00457456"/>
    <w:rsid w:val="00457486"/>
    <w:rsid w:val="00460687"/>
    <w:rsid w:val="0046086C"/>
    <w:rsid w:val="00460907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1E1"/>
    <w:rsid w:val="00474393"/>
    <w:rsid w:val="00474F35"/>
    <w:rsid w:val="0047543F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45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6F57"/>
    <w:rsid w:val="004A73CD"/>
    <w:rsid w:val="004A74F3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B03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59F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B1B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0CDE"/>
    <w:rsid w:val="005F1EB7"/>
    <w:rsid w:val="005F20CD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115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C89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2B09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179A3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45EB6"/>
    <w:rsid w:val="00750CBC"/>
    <w:rsid w:val="00754444"/>
    <w:rsid w:val="00754995"/>
    <w:rsid w:val="00755541"/>
    <w:rsid w:val="0075575C"/>
    <w:rsid w:val="007562EB"/>
    <w:rsid w:val="007572CA"/>
    <w:rsid w:val="007573F6"/>
    <w:rsid w:val="00757432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479C"/>
    <w:rsid w:val="007B48D1"/>
    <w:rsid w:val="007B553E"/>
    <w:rsid w:val="007B6F54"/>
    <w:rsid w:val="007B70FA"/>
    <w:rsid w:val="007B73F2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D45"/>
    <w:rsid w:val="00801F57"/>
    <w:rsid w:val="00802E65"/>
    <w:rsid w:val="008033F7"/>
    <w:rsid w:val="008053F9"/>
    <w:rsid w:val="00805951"/>
    <w:rsid w:val="00806078"/>
    <w:rsid w:val="00806A9F"/>
    <w:rsid w:val="008100C6"/>
    <w:rsid w:val="008100F1"/>
    <w:rsid w:val="00811400"/>
    <w:rsid w:val="008117DF"/>
    <w:rsid w:val="00812756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5768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A31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194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6E61"/>
    <w:rsid w:val="008E788D"/>
    <w:rsid w:val="008E7AFA"/>
    <w:rsid w:val="008E7D8C"/>
    <w:rsid w:val="008F134F"/>
    <w:rsid w:val="008F14CB"/>
    <w:rsid w:val="008F199A"/>
    <w:rsid w:val="008F1C3F"/>
    <w:rsid w:val="008F352A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9E4"/>
    <w:rsid w:val="00940263"/>
    <w:rsid w:val="009434A9"/>
    <w:rsid w:val="0094353F"/>
    <w:rsid w:val="00945506"/>
    <w:rsid w:val="0094597A"/>
    <w:rsid w:val="009459A7"/>
    <w:rsid w:val="00946228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6B76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3EB7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BBA"/>
    <w:rsid w:val="00A60CA6"/>
    <w:rsid w:val="00A623F7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516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3ABD"/>
    <w:rsid w:val="00AB419F"/>
    <w:rsid w:val="00AB553F"/>
    <w:rsid w:val="00AB65F4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47CB6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B0A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4CD3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05"/>
    <w:rsid w:val="00BB4771"/>
    <w:rsid w:val="00BB4853"/>
    <w:rsid w:val="00BB50AB"/>
    <w:rsid w:val="00BB5F0F"/>
    <w:rsid w:val="00BB6CF8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0D8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43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0FA7"/>
    <w:rsid w:val="00C917F4"/>
    <w:rsid w:val="00C9348E"/>
    <w:rsid w:val="00C94570"/>
    <w:rsid w:val="00C94A9E"/>
    <w:rsid w:val="00C94FBB"/>
    <w:rsid w:val="00C95A60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1C23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B8F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00C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6670E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E6B65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17B17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9C3"/>
    <w:rsid w:val="00E47C15"/>
    <w:rsid w:val="00E47DC8"/>
    <w:rsid w:val="00E50460"/>
    <w:rsid w:val="00E50B70"/>
    <w:rsid w:val="00E50CA6"/>
    <w:rsid w:val="00E50CDB"/>
    <w:rsid w:val="00E52A1B"/>
    <w:rsid w:val="00E542FC"/>
    <w:rsid w:val="00E544FB"/>
    <w:rsid w:val="00E56005"/>
    <w:rsid w:val="00E57F86"/>
    <w:rsid w:val="00E60296"/>
    <w:rsid w:val="00E60420"/>
    <w:rsid w:val="00E606B9"/>
    <w:rsid w:val="00E618B1"/>
    <w:rsid w:val="00E62331"/>
    <w:rsid w:val="00E636E8"/>
    <w:rsid w:val="00E64936"/>
    <w:rsid w:val="00E649DB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6E6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215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1499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1B5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14CF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8F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DC4C9F-B1EC-4240-97FE-796F625E7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24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6994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</cp:lastModifiedBy>
  <cp:revision>16</cp:revision>
  <cp:lastPrinted>2012-09-26T11:01:00Z</cp:lastPrinted>
  <dcterms:created xsi:type="dcterms:W3CDTF">2017-09-28T08:48:00Z</dcterms:created>
  <dcterms:modified xsi:type="dcterms:W3CDTF">2017-09-29T13:26:00Z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